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B4" w:rsidRPr="000E6623" w:rsidRDefault="00EB27B4" w:rsidP="00CC6039">
      <w:pPr>
        <w:ind w:left="3261"/>
        <w:jc w:val="both"/>
        <w:rPr>
          <w:rFonts w:ascii="Times New Roman" w:hAnsi="Times New Roman"/>
          <w:color w:val="000000"/>
          <w:sz w:val="24"/>
          <w:szCs w:val="24"/>
        </w:rPr>
      </w:pPr>
      <w:r w:rsidRPr="000E6623">
        <w:rPr>
          <w:rFonts w:ascii="Times New Roman" w:hAnsi="Times New Roman"/>
          <w:color w:val="000000"/>
          <w:sz w:val="24"/>
          <w:szCs w:val="24"/>
        </w:rPr>
        <w:t>Составлено по результату визуального обследования состояния общего имущества многоквартирного жилого дома по адресу: Курская область, г.Дамитриев, ул. Ленина, д.73.</w:t>
      </w:r>
    </w:p>
    <w:p w:rsidR="00EB27B4" w:rsidRPr="000E6623" w:rsidRDefault="00EB27B4" w:rsidP="00CC6039">
      <w:pPr>
        <w:rPr>
          <w:rFonts w:ascii="Times New Roman" w:hAnsi="Times New Roman"/>
          <w:color w:val="000000"/>
        </w:rPr>
      </w:pPr>
    </w:p>
    <w:p w:rsidR="00EB27B4" w:rsidRPr="000E6623" w:rsidRDefault="00EB27B4" w:rsidP="000E6623">
      <w:pPr>
        <w:jc w:val="center"/>
        <w:outlineLvl w:val="0"/>
        <w:rPr>
          <w:rFonts w:ascii="Times New Roman" w:hAnsi="Times New Roman"/>
          <w:b/>
          <w:color w:val="000000"/>
        </w:rPr>
      </w:pPr>
      <w:r w:rsidRPr="000E6623">
        <w:rPr>
          <w:rFonts w:ascii="Times New Roman" w:hAnsi="Times New Roman"/>
          <w:b/>
          <w:color w:val="000000"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EB27B4" w:rsidRPr="000E6623" w:rsidTr="001D0421">
        <w:tc>
          <w:tcPr>
            <w:tcW w:w="7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Потребность в ремонте, замене, текущем ремонте, обслуживании</w:t>
            </w:r>
          </w:p>
        </w:tc>
      </w:tr>
      <w:tr w:rsidR="00EB27B4" w:rsidRPr="000E6623" w:rsidTr="00867E05">
        <w:trPr>
          <w:trHeight w:val="320"/>
        </w:trPr>
        <w:tc>
          <w:tcPr>
            <w:tcW w:w="9595" w:type="dxa"/>
            <w:gridSpan w:val="4"/>
            <w:tcBorders>
              <w:top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867E0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Конструкции здания</w:t>
            </w:r>
          </w:p>
        </w:tc>
      </w:tr>
      <w:tr w:rsidR="00EB27B4" w:rsidRPr="000E6623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9616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Выявлены трещины усадочного характера ,происходит , разрушение кирпичной кладки, замачивание стен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Неудовлетворительное</w:t>
            </w:r>
          </w:p>
        </w:tc>
      </w:tr>
      <w:tr w:rsidR="00EB27B4" w:rsidRPr="000E6623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Трещины, отдельные места разрушены, отмостка отходит от здания, отсутствует гидроизоляция, 50% отмостки отсутствует</w:t>
            </w:r>
            <w:bookmarkStart w:id="0" w:name="_GoBack"/>
            <w:bookmarkEnd w:id="0"/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EB27B4" w:rsidRPr="000E6623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55597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Кирпичный фасад, в некоторых местах имеются трещины в кирпичной кладке, разрушение кладочного шва, разрушение кирпичной кладки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Неудовлетворительное</w:t>
            </w:r>
          </w:p>
        </w:tc>
      </w:tr>
      <w:tr w:rsidR="00EB27B4" w:rsidRPr="000E6623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0B4919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При визуальном обследовании дефектов не обнаружено. Рекомендуется провести детальное обследование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Хорошее</w:t>
            </w:r>
          </w:p>
        </w:tc>
      </w:tr>
      <w:tr w:rsidR="00EB27B4" w:rsidRPr="000E6623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55597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Следы протечек, гниль, мауэрлат в целом в удовлетворительном состоянии.</w:t>
            </w:r>
          </w:p>
          <w:p w:rsidR="00EB27B4" w:rsidRPr="000E6623" w:rsidRDefault="00EB27B4" w:rsidP="0069616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Прогоны и затяжки в удовлетворительном состоянии, отсутствует лежень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EB27B4" w:rsidRPr="000E6623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55597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9616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Имеет следы биоповреждений (потемнение, следы ранее устраненных затечек,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EB27B4" w:rsidRPr="000E6623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Коррозия металлических элементов кровли. На момент обследования протечек не выявлено.</w:t>
            </w:r>
          </w:p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Ограждение кровли отсутствует</w:t>
            </w:r>
          </w:p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Снегоудержатели отсутствуют.</w:t>
            </w:r>
          </w:p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Присутствуют следы просветов.</w:t>
            </w:r>
          </w:p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Трещены и гниение стропильных элементов.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EB27B4" w:rsidRPr="000E6623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223D6B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Есть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B27B4" w:rsidRPr="000E6623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9616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На входах необходимо демонтировать бетонные площадки на 0,5м и организовать новые входные площадки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EB27B4" w:rsidRPr="000E6623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Окна деревянные, видны следы протечек, имеются мелкие трещены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EB27B4" w:rsidRPr="000E6623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EB27B4" w:rsidRPr="000E6623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703E4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703E4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9616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Имеют следы биоповреждений (потемнение,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703E4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EB27B4" w:rsidRPr="000E6623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703E4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703E4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69616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Трещины и отслоения бетона на торцах плит,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703E4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Неудовлетворительное</w:t>
            </w:r>
          </w:p>
        </w:tc>
      </w:tr>
      <w:tr w:rsidR="00EB27B4" w:rsidRPr="000E6623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867E0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Внутридомовые инженерные системы</w:t>
            </w:r>
          </w:p>
        </w:tc>
      </w:tr>
      <w:tr w:rsidR="00EB27B4" w:rsidRPr="000E6623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426EEB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149E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Отсутствует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58555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EB27B4" w:rsidRPr="000E6623" w:rsidTr="00A72C9D">
        <w:trPr>
          <w:trHeight w:val="210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233F7F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EB27B4" w:rsidRPr="000E6623" w:rsidRDefault="00EB27B4">
            <w:pPr>
              <w:rPr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233F7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EB27B4" w:rsidRPr="000E6623" w:rsidTr="00A72C9D">
        <w:trPr>
          <w:trHeight w:val="40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233F7F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EB27B4" w:rsidRPr="000E6623" w:rsidRDefault="00EB27B4">
            <w:pPr>
              <w:rPr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233F7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EB27B4" w:rsidRPr="000E6623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C93E53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частично выполнены из алюминия, частично заменены на медь. Изоляция разрушается (возраст).</w:t>
            </w:r>
          </w:p>
          <w:p w:rsidR="00EB27B4" w:rsidRPr="000E6623" w:rsidRDefault="00EB27B4" w:rsidP="00C93E53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Распределительные коробки повреждены. Соединения выполнены с нарушением норм. Дополнительная система уравнивания потенциалов отсутствует (не предусмотрена изначально). Контур заземления разрушен (возраст).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58555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EB27B4" w:rsidRPr="000E6623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CE75F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58555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</w:tbl>
    <w:p w:rsidR="00EB27B4" w:rsidRPr="000E6623" w:rsidRDefault="00EB27B4" w:rsidP="00CC6039">
      <w:pPr>
        <w:rPr>
          <w:rFonts w:ascii="Times New Roman" w:hAnsi="Times New Roman"/>
          <w:color w:val="000000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EB27B4" w:rsidRPr="000E6623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EB27B4" w:rsidRPr="000E6623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 значительный ремонт</w:t>
            </w:r>
          </w:p>
        </w:tc>
      </w:tr>
      <w:tr w:rsidR="00EB27B4" w:rsidRPr="000E6623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 ремонт</w:t>
            </w:r>
          </w:p>
        </w:tc>
      </w:tr>
      <w:tr w:rsidR="00EB27B4" w:rsidRPr="000E6623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Необходимы профилактические работы</w:t>
            </w:r>
          </w:p>
        </w:tc>
      </w:tr>
      <w:tr w:rsidR="00EB27B4" w:rsidRPr="000E6623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B27B4" w:rsidRPr="000E6623" w:rsidRDefault="00EB27B4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0E6623">
              <w:rPr>
                <w:rFonts w:ascii="Times New Roman" w:hAnsi="Times New Roman"/>
                <w:color w:val="000000"/>
              </w:rPr>
              <w:t>Новое или не требующее ремонта оборудование, элемент здания</w:t>
            </w:r>
          </w:p>
        </w:tc>
      </w:tr>
    </w:tbl>
    <w:p w:rsidR="00EB27B4" w:rsidRPr="000E6623" w:rsidRDefault="00EB27B4" w:rsidP="001D0421">
      <w:pPr>
        <w:rPr>
          <w:rFonts w:ascii="Times New Roman" w:hAnsi="Times New Roman"/>
          <w:color w:val="000000"/>
        </w:rPr>
      </w:pPr>
    </w:p>
    <w:sectPr w:rsidR="00EB27B4" w:rsidRPr="000E6623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7B4" w:rsidRDefault="00EB27B4" w:rsidP="00B80A73">
      <w:pPr>
        <w:spacing w:after="0" w:line="240" w:lineRule="auto"/>
      </w:pPr>
      <w:r>
        <w:separator/>
      </w:r>
    </w:p>
  </w:endnote>
  <w:endnote w:type="continuationSeparator" w:id="0">
    <w:p w:rsidR="00EB27B4" w:rsidRDefault="00EB27B4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7B4" w:rsidRDefault="00EB27B4">
    <w:pPr>
      <w:pStyle w:val="Footer"/>
    </w:pPr>
    <w:r>
      <w:rPr>
        <w:noProof/>
      </w:rPr>
      <w:pict>
        <v:group id="_x0000_s2049" style="position:absolute;margin-left:19.05pt;margin-top:21.2pt;width:552.9pt;height:804.55pt;z-index:251660288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EB27B4" w:rsidRDefault="00EB27B4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EB27B4" w:rsidRDefault="00EB27B4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EB27B4" w:rsidRDefault="00EB27B4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EB27B4" w:rsidRDefault="00EB27B4" w:rsidP="00B80A73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EB27B4" w:rsidRDefault="00EB27B4" w:rsidP="00B80A73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EB27B4" w:rsidRDefault="00EB27B4" w:rsidP="00B80A73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EB27B4" w:rsidRDefault="00EB27B4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EB27B4" w:rsidRDefault="00EB27B4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EB27B4" w:rsidRDefault="00EB27B4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EB27B4" w:rsidRDefault="00EB27B4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EB27B4" w:rsidRDefault="00EB27B4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EB27B4" w:rsidRDefault="00EB27B4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EB27B4" w:rsidRDefault="00EB27B4" w:rsidP="00B80A73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EB27B4" w:rsidRDefault="00EB27B4" w:rsidP="00B80A73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EB27B4" w:rsidRDefault="00EB27B4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EB27B4" w:rsidRDefault="00EB27B4" w:rsidP="00B80A73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EB27B4" w:rsidRDefault="00EB27B4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EB27B4" w:rsidRDefault="00EB27B4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EB27B4" w:rsidRDefault="00EB27B4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EB27B4" w:rsidRDefault="00EB27B4" w:rsidP="00B80A73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EB27B4" w:rsidRDefault="00EB27B4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EB27B4" w:rsidRDefault="00EB27B4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EB27B4" w:rsidRDefault="00EB27B4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EB27B4" w:rsidRDefault="00EB27B4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EB27B4" w:rsidRPr="000A4A47" w:rsidRDefault="00EB27B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ПСД-049</w:t>
                    </w:r>
                    <w:r w:rsidRPr="001F4AC6">
                      <w:rPr>
                        <w:sz w:val="28"/>
                        <w:szCs w:val="28"/>
                      </w:rPr>
                      <w:t>/201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Pr="001F4AC6">
                      <w:rPr>
                        <w:sz w:val="28"/>
                        <w:szCs w:val="28"/>
                      </w:rPr>
                      <w:t>-ОБ</w:t>
                    </w:r>
                    <w:r>
                      <w:rPr>
                        <w:sz w:val="28"/>
                        <w:szCs w:val="28"/>
                      </w:rPr>
                      <w:t>.101</w:t>
                    </w:r>
                  </w:p>
                  <w:p w:rsidR="00EB27B4" w:rsidRDefault="00EB27B4" w:rsidP="00B80A73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EB27B4" w:rsidRDefault="00EB27B4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EB27B4" w:rsidRPr="00F13A0E" w:rsidRDefault="00EB27B4" w:rsidP="00B80A73">
                    <w:pPr>
                      <w:jc w:val="center"/>
                    </w:pPr>
                    <w:fldSimple w:instr=" PAGE   \* MERGEFORMAT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7B4" w:rsidRDefault="00EB27B4" w:rsidP="00B80A73">
      <w:pPr>
        <w:spacing w:after="0" w:line="240" w:lineRule="auto"/>
      </w:pPr>
      <w:r>
        <w:separator/>
      </w:r>
    </w:p>
  </w:footnote>
  <w:footnote w:type="continuationSeparator" w:id="0">
    <w:p w:rsidR="00EB27B4" w:rsidRDefault="00EB27B4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7B4" w:rsidRPr="00FF3779" w:rsidRDefault="00EB27B4" w:rsidP="00B80A73">
    <w:pPr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Приложение А</w:t>
    </w:r>
  </w:p>
  <w:p w:rsidR="00EB27B4" w:rsidRDefault="00EB27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4EA607E"/>
    <w:lvl w:ilvl="0" w:tplc="25E04B8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039"/>
    <w:rsid w:val="0002385F"/>
    <w:rsid w:val="0002707C"/>
    <w:rsid w:val="00043B19"/>
    <w:rsid w:val="00070D58"/>
    <w:rsid w:val="000A4A47"/>
    <w:rsid w:val="000B4919"/>
    <w:rsid w:val="000C444E"/>
    <w:rsid w:val="000C74BE"/>
    <w:rsid w:val="000E6623"/>
    <w:rsid w:val="001149EB"/>
    <w:rsid w:val="0011520A"/>
    <w:rsid w:val="001208A4"/>
    <w:rsid w:val="00125757"/>
    <w:rsid w:val="00141B4A"/>
    <w:rsid w:val="00183073"/>
    <w:rsid w:val="001A2271"/>
    <w:rsid w:val="001B7DE8"/>
    <w:rsid w:val="001C06DC"/>
    <w:rsid w:val="001C432D"/>
    <w:rsid w:val="001D0421"/>
    <w:rsid w:val="001F4AC6"/>
    <w:rsid w:val="00223D6B"/>
    <w:rsid w:val="00233F7F"/>
    <w:rsid w:val="00261E2F"/>
    <w:rsid w:val="00264CD8"/>
    <w:rsid w:val="00293347"/>
    <w:rsid w:val="00296752"/>
    <w:rsid w:val="002B4D57"/>
    <w:rsid w:val="002D4D12"/>
    <w:rsid w:val="002D4E9B"/>
    <w:rsid w:val="002F0829"/>
    <w:rsid w:val="002F1FCB"/>
    <w:rsid w:val="0037042D"/>
    <w:rsid w:val="003801BC"/>
    <w:rsid w:val="003C7C83"/>
    <w:rsid w:val="003F703D"/>
    <w:rsid w:val="00426EEB"/>
    <w:rsid w:val="00432C35"/>
    <w:rsid w:val="0047068E"/>
    <w:rsid w:val="004A181F"/>
    <w:rsid w:val="004A4704"/>
    <w:rsid w:val="004F04AC"/>
    <w:rsid w:val="00530500"/>
    <w:rsid w:val="00534631"/>
    <w:rsid w:val="00536874"/>
    <w:rsid w:val="005443D5"/>
    <w:rsid w:val="005457DA"/>
    <w:rsid w:val="005710AF"/>
    <w:rsid w:val="00585556"/>
    <w:rsid w:val="005C31BD"/>
    <w:rsid w:val="005C3A54"/>
    <w:rsid w:val="005E097C"/>
    <w:rsid w:val="005F1A9A"/>
    <w:rsid w:val="005F59DD"/>
    <w:rsid w:val="005F7593"/>
    <w:rsid w:val="00655597"/>
    <w:rsid w:val="006831D3"/>
    <w:rsid w:val="00695D35"/>
    <w:rsid w:val="00696161"/>
    <w:rsid w:val="006B668C"/>
    <w:rsid w:val="006C298D"/>
    <w:rsid w:val="00703E41"/>
    <w:rsid w:val="007067F2"/>
    <w:rsid w:val="00717BC8"/>
    <w:rsid w:val="00750B13"/>
    <w:rsid w:val="00765656"/>
    <w:rsid w:val="00790479"/>
    <w:rsid w:val="007A641F"/>
    <w:rsid w:val="007D10A8"/>
    <w:rsid w:val="007D2E6C"/>
    <w:rsid w:val="007E6C70"/>
    <w:rsid w:val="008012E3"/>
    <w:rsid w:val="00812ED0"/>
    <w:rsid w:val="00814AED"/>
    <w:rsid w:val="00832E95"/>
    <w:rsid w:val="0086007A"/>
    <w:rsid w:val="00866EA9"/>
    <w:rsid w:val="00867E05"/>
    <w:rsid w:val="00890765"/>
    <w:rsid w:val="008F3C09"/>
    <w:rsid w:val="00900281"/>
    <w:rsid w:val="00902AFF"/>
    <w:rsid w:val="009138EF"/>
    <w:rsid w:val="009256EB"/>
    <w:rsid w:val="009523E9"/>
    <w:rsid w:val="0099076A"/>
    <w:rsid w:val="009D1F6D"/>
    <w:rsid w:val="00A2462C"/>
    <w:rsid w:val="00A44E93"/>
    <w:rsid w:val="00A6575F"/>
    <w:rsid w:val="00A724D7"/>
    <w:rsid w:val="00A72C9D"/>
    <w:rsid w:val="00A96A15"/>
    <w:rsid w:val="00A973B6"/>
    <w:rsid w:val="00AB4BC5"/>
    <w:rsid w:val="00AC0587"/>
    <w:rsid w:val="00AC0AD6"/>
    <w:rsid w:val="00AD6479"/>
    <w:rsid w:val="00B07795"/>
    <w:rsid w:val="00B11868"/>
    <w:rsid w:val="00B80A73"/>
    <w:rsid w:val="00BA4F9E"/>
    <w:rsid w:val="00BC565C"/>
    <w:rsid w:val="00C034E4"/>
    <w:rsid w:val="00C15238"/>
    <w:rsid w:val="00C1552F"/>
    <w:rsid w:val="00C90879"/>
    <w:rsid w:val="00C93E53"/>
    <w:rsid w:val="00CA3445"/>
    <w:rsid w:val="00CA394C"/>
    <w:rsid w:val="00CC6039"/>
    <w:rsid w:val="00CD509D"/>
    <w:rsid w:val="00CE4C56"/>
    <w:rsid w:val="00CE75F7"/>
    <w:rsid w:val="00D02B19"/>
    <w:rsid w:val="00D0585B"/>
    <w:rsid w:val="00D20BFB"/>
    <w:rsid w:val="00D60B86"/>
    <w:rsid w:val="00D6702F"/>
    <w:rsid w:val="00D915C2"/>
    <w:rsid w:val="00DA5FED"/>
    <w:rsid w:val="00DD6A50"/>
    <w:rsid w:val="00E33D17"/>
    <w:rsid w:val="00E35CFE"/>
    <w:rsid w:val="00E81FA3"/>
    <w:rsid w:val="00E83C98"/>
    <w:rsid w:val="00E8571D"/>
    <w:rsid w:val="00EB27B4"/>
    <w:rsid w:val="00EB2E6C"/>
    <w:rsid w:val="00F13A0E"/>
    <w:rsid w:val="00F1769A"/>
    <w:rsid w:val="00F409D9"/>
    <w:rsid w:val="00F776EE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DE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2575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hAnsi="Times New Roman"/>
      <w:sz w:val="27"/>
      <w:szCs w:val="27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C444E"/>
    <w:rPr>
      <w:rFonts w:ascii="Times New Roman" w:hAnsi="Times New Roman" w:cs="Times New Roman"/>
      <w:sz w:val="27"/>
      <w:szCs w:val="27"/>
    </w:rPr>
  </w:style>
  <w:style w:type="paragraph" w:styleId="Header">
    <w:name w:val="header"/>
    <w:basedOn w:val="Normal"/>
    <w:link w:val="HeaderChar"/>
    <w:uiPriority w:val="99"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80A7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80A73"/>
    <w:rPr>
      <w:rFonts w:cs="Times New Roman"/>
    </w:rPr>
  </w:style>
  <w:style w:type="paragraph" w:customStyle="1" w:styleId="9">
    <w:name w:val="заголовок 9"/>
    <w:basedOn w:val="Normal"/>
    <w:next w:val="Normal"/>
    <w:uiPriority w:val="99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">
    <w:name w:val="заголовок 5"/>
    <w:basedOn w:val="Normal"/>
    <w:next w:val="Normal"/>
    <w:uiPriority w:val="99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Normal"/>
    <w:next w:val="Normal"/>
    <w:uiPriority w:val="99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hAnsi="Arial" w:cs="Arial"/>
      <w:i/>
      <w:iCs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rsid w:val="009D1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1F6D"/>
    <w:rPr>
      <w:rFonts w:ascii="Segoe UI" w:hAnsi="Segoe UI" w:cs="Segoe UI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0E66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224F9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3</Pages>
  <Words>472</Words>
  <Characters>2692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user7</cp:lastModifiedBy>
  <cp:revision>18</cp:revision>
  <cp:lastPrinted>2018-03-25T20:59:00Z</cp:lastPrinted>
  <dcterms:created xsi:type="dcterms:W3CDTF">2017-04-24T09:10:00Z</dcterms:created>
  <dcterms:modified xsi:type="dcterms:W3CDTF">2018-09-18T13:12:00Z</dcterms:modified>
</cp:coreProperties>
</file>