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proofErr w:type="spellStart"/>
      <w:r w:rsidR="00CC25E1">
        <w:rPr>
          <w:rFonts w:ascii="Times New Roman" w:eastAsia="Calibri" w:hAnsi="Times New Roman" w:cs="Times New Roman"/>
          <w:color w:val="000000"/>
          <w:sz w:val="24"/>
          <w:szCs w:val="24"/>
        </w:rPr>
        <w:t>Пигорева</w:t>
      </w:r>
      <w:proofErr w:type="spellEnd"/>
      <w:r w:rsidR="00CC25E1">
        <w:rPr>
          <w:rFonts w:ascii="Times New Roman" w:eastAsia="Calibri" w:hAnsi="Times New Roman" w:cs="Times New Roman"/>
          <w:color w:val="000000"/>
          <w:sz w:val="24"/>
          <w:szCs w:val="24"/>
        </w:rPr>
        <w:t>, д. 24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B425B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Гидроизоляция из местами порвана, местами имеет трещины.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Кровельный ковер имеет вздутия и отслоения. По нижележащим этажам здания имеются следы протечек (возможно ранее устраненные). Карнизные свесы </w:t>
            </w:r>
            <w:proofErr w:type="gramStart"/>
            <w:r>
              <w:rPr>
                <w:rFonts w:ascii="Times New Roman" w:hAnsi="Times New Roman" w:cs="Times New Roman"/>
              </w:rPr>
              <w:t>ж/б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покрытия (парапетные плиты) имеют следы </w:t>
            </w:r>
            <w:proofErr w:type="spellStart"/>
            <w:r>
              <w:rPr>
                <w:rFonts w:ascii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hAnsi="Times New Roman" w:cs="Times New Roman"/>
              </w:rPr>
              <w:t>, отслоение защитных слоев и коррозию арматуры. 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D5D0B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D5D0B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D5D0B">
              <w:rPr>
                <w:rFonts w:ascii="Times New Roman" w:hAnsi="Times New Roman" w:cs="Times New Roman"/>
              </w:rPr>
              <w:t>Те</w:t>
            </w:r>
            <w:r w:rsidR="009D5D0B" w:rsidRPr="009D5D0B">
              <w:rPr>
                <w:rFonts w:ascii="Times New Roman" w:hAnsi="Times New Roman" w:cs="Times New Roman"/>
              </w:rPr>
              <w:t>плоснабжение</w:t>
            </w:r>
            <w:r w:rsidRPr="009D5D0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D5D0B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D5D0B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D5D0B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D5D0B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11520A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1520A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 xml:space="preserve">Общедомовые трубы подвержены коррозии, </w:t>
            </w:r>
            <w:proofErr w:type="spellStart"/>
            <w:r w:rsidRPr="005A3437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5A3437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1520A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35B88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35B88">
              <w:rPr>
                <w:rFonts w:ascii="Times New Roman" w:hAnsi="Times New Roman" w:cs="Times New Roman"/>
              </w:rPr>
              <w:t xml:space="preserve">Электроснабжение, в том числе система уравнивания </w:t>
            </w:r>
            <w:r w:rsidRPr="00935B88">
              <w:rPr>
                <w:rFonts w:ascii="Times New Roman" w:hAnsi="Times New Roman" w:cs="Times New Roman"/>
              </w:rPr>
              <w:lastRenderedPageBreak/>
              <w:t>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35B88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35B88">
              <w:rPr>
                <w:rFonts w:ascii="Times New Roman" w:hAnsi="Times New Roman" w:cs="Times New Roman"/>
              </w:rPr>
              <w:lastRenderedPageBreak/>
              <w:t xml:space="preserve">Общедомовые сети электроснабжения (от вводного </w:t>
            </w:r>
            <w:r w:rsidRPr="00935B88">
              <w:rPr>
                <w:rFonts w:ascii="Times New Roman" w:hAnsi="Times New Roman" w:cs="Times New Roman"/>
              </w:rPr>
              <w:lastRenderedPageBreak/>
              <w:t>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35B88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35B88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11520A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 xml:space="preserve">Общедомовые трубы подвержены коррозии, </w:t>
            </w:r>
            <w:proofErr w:type="spellStart"/>
            <w:r w:rsidRPr="005A3437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5A3437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5A3437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A343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693" w:rsidRDefault="00AB7693" w:rsidP="00B80A73">
      <w:pPr>
        <w:spacing w:after="0" w:line="240" w:lineRule="auto"/>
      </w:pPr>
      <w:r>
        <w:separator/>
      </w:r>
    </w:p>
  </w:endnote>
  <w:end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D50E61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.94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D50E61" w:rsidP="00B80A73">
                    <w:pPr>
                      <w:jc w:val="center"/>
                    </w:pPr>
                    <w:fldSimple w:instr=" PAGE   \* MERGEFORMAT ">
                      <w:r w:rsidR="00935B88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693" w:rsidRDefault="00AB7693" w:rsidP="00B80A73">
      <w:pPr>
        <w:spacing w:after="0" w:line="240" w:lineRule="auto"/>
      </w:pPr>
      <w:r>
        <w:separator/>
      </w:r>
    </w:p>
  </w:footnote>
  <w:foot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91366"/>
    <w:rsid w:val="000A57D0"/>
    <w:rsid w:val="000C444E"/>
    <w:rsid w:val="0011520A"/>
    <w:rsid w:val="00117982"/>
    <w:rsid w:val="00125757"/>
    <w:rsid w:val="00183073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78BF"/>
    <w:rsid w:val="004A181F"/>
    <w:rsid w:val="004A3EB0"/>
    <w:rsid w:val="004A4704"/>
    <w:rsid w:val="00530500"/>
    <w:rsid w:val="005A1A44"/>
    <w:rsid w:val="005A3437"/>
    <w:rsid w:val="005A5EBF"/>
    <w:rsid w:val="005C3A54"/>
    <w:rsid w:val="00614D19"/>
    <w:rsid w:val="006B668C"/>
    <w:rsid w:val="00790479"/>
    <w:rsid w:val="007D3B95"/>
    <w:rsid w:val="007E6C70"/>
    <w:rsid w:val="00812ED0"/>
    <w:rsid w:val="00832E95"/>
    <w:rsid w:val="0083710A"/>
    <w:rsid w:val="00890765"/>
    <w:rsid w:val="008E6D8F"/>
    <w:rsid w:val="008F5B7B"/>
    <w:rsid w:val="00902AFF"/>
    <w:rsid w:val="0091588B"/>
    <w:rsid w:val="00935B88"/>
    <w:rsid w:val="009D5D0B"/>
    <w:rsid w:val="00A40266"/>
    <w:rsid w:val="00A96A15"/>
    <w:rsid w:val="00A973B6"/>
    <w:rsid w:val="00AB7693"/>
    <w:rsid w:val="00B11868"/>
    <w:rsid w:val="00B425BC"/>
    <w:rsid w:val="00B80A73"/>
    <w:rsid w:val="00B918AD"/>
    <w:rsid w:val="00BA4F9E"/>
    <w:rsid w:val="00C034E4"/>
    <w:rsid w:val="00C15238"/>
    <w:rsid w:val="00CA394C"/>
    <w:rsid w:val="00CC25E1"/>
    <w:rsid w:val="00CC6039"/>
    <w:rsid w:val="00D0585B"/>
    <w:rsid w:val="00D3584D"/>
    <w:rsid w:val="00D50E61"/>
    <w:rsid w:val="00D915C2"/>
    <w:rsid w:val="00DD6A50"/>
    <w:rsid w:val="00E33D17"/>
    <w:rsid w:val="00E81FA3"/>
    <w:rsid w:val="00E8571D"/>
    <w:rsid w:val="00F776EE"/>
    <w:rsid w:val="00FA6B15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51</cp:revision>
  <dcterms:created xsi:type="dcterms:W3CDTF">2015-03-15T09:47:00Z</dcterms:created>
  <dcterms:modified xsi:type="dcterms:W3CDTF">2015-12-14T07:50:00Z</dcterms:modified>
</cp:coreProperties>
</file>